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F40C" w14:textId="35E85664" w:rsidR="004F3A27" w:rsidRPr="008E53F3" w:rsidRDefault="004F3A27" w:rsidP="004F3A27">
      <w:pPr>
        <w:pStyle w:val="Default"/>
        <w:rPr>
          <w:rFonts w:ascii="Times New Roman" w:hAnsi="Times New Roman" w:cs="Times New Roman"/>
          <w:b/>
        </w:rPr>
      </w:pPr>
      <w:r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Pr="008E53F3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pict w14:anchorId="77D59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pt;height:58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E53F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C0B919" wp14:editId="499D62E9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3F3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Pr="008E53F3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instrText>8jxcHHQIw&amp;usqp=CAU" \* MERGEFORMATINET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pict w14:anchorId="1789C72E">
          <v:shape id="_x0000_i1026" type="#_x0000_t75" alt="RZĄDOWY FUNDUSZ POLSKI ŁAD:" style="width:117pt;height:64pt">
            <v:imagedata r:id="rId8" r:href="rId9"/>
          </v:shape>
        </w:pic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74C7686B" w14:textId="77777777" w:rsidR="004F3A27" w:rsidRPr="008E53F3" w:rsidRDefault="004F3A27" w:rsidP="004F3A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71AB0" w14:textId="35F3F1AD" w:rsidR="004F3A27" w:rsidRPr="00816295" w:rsidRDefault="004F3A27" w:rsidP="004F3A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6295">
        <w:rPr>
          <w:rFonts w:ascii="Times New Roman" w:hAnsi="Times New Roman" w:cs="Times New Roman"/>
          <w:b/>
          <w:sz w:val="24"/>
          <w:szCs w:val="24"/>
        </w:rPr>
        <w:t>Załącznik nr 2</w:t>
      </w:r>
    </w:p>
    <w:bookmarkEnd w:id="0"/>
    <w:p w14:paraId="44BC945D" w14:textId="6F8A63FC" w:rsidR="00087ED8" w:rsidRPr="008E53F3" w:rsidRDefault="007F22B4" w:rsidP="008E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F3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087ED8" w:rsidRPr="008E53F3">
        <w:rPr>
          <w:rFonts w:ascii="Times New Roman" w:hAnsi="Times New Roman" w:cs="Times New Roman"/>
          <w:b/>
          <w:sz w:val="24"/>
          <w:szCs w:val="24"/>
        </w:rPr>
        <w:t>PRAC KONSERWATORSKICH</w:t>
      </w:r>
      <w:r w:rsidRPr="008E53F3">
        <w:rPr>
          <w:rFonts w:ascii="Times New Roman" w:hAnsi="Times New Roman" w:cs="Times New Roman"/>
          <w:b/>
          <w:sz w:val="24"/>
          <w:szCs w:val="24"/>
        </w:rPr>
        <w:t xml:space="preserve"> KOŚCIELE PARAFIALNYM </w:t>
      </w:r>
      <w:r w:rsidR="008E53F3">
        <w:rPr>
          <w:rFonts w:ascii="Times New Roman" w:hAnsi="Times New Roman" w:cs="Times New Roman"/>
          <w:b/>
          <w:sz w:val="24"/>
          <w:szCs w:val="24"/>
        </w:rPr>
        <w:br/>
      </w:r>
      <w:r w:rsidR="00BA4DC7" w:rsidRPr="008E53F3">
        <w:rPr>
          <w:rFonts w:ascii="Times New Roman" w:hAnsi="Times New Roman" w:cs="Times New Roman"/>
          <w:b/>
          <w:sz w:val="24"/>
          <w:szCs w:val="24"/>
        </w:rPr>
        <w:t>P</w:t>
      </w:r>
      <w:r w:rsidR="008E53F3">
        <w:rPr>
          <w:rFonts w:ascii="Times New Roman" w:hAnsi="Times New Roman" w:cs="Times New Roman"/>
          <w:b/>
          <w:sz w:val="24"/>
          <w:szCs w:val="24"/>
        </w:rPr>
        <w:t>.</w:t>
      </w:r>
      <w:r w:rsidR="00BA4DC7" w:rsidRPr="008E53F3">
        <w:rPr>
          <w:rFonts w:ascii="Times New Roman" w:hAnsi="Times New Roman" w:cs="Times New Roman"/>
          <w:b/>
          <w:sz w:val="24"/>
          <w:szCs w:val="24"/>
        </w:rPr>
        <w:t>W.</w:t>
      </w:r>
      <w:r w:rsidR="008E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C7" w:rsidRPr="008E53F3">
        <w:rPr>
          <w:rFonts w:ascii="Times New Roman" w:hAnsi="Times New Roman" w:cs="Times New Roman"/>
          <w:b/>
          <w:sz w:val="24"/>
          <w:szCs w:val="24"/>
        </w:rPr>
        <w:t xml:space="preserve">ŚW. WOJCIECHA </w:t>
      </w:r>
      <w:r w:rsidRPr="008E53F3">
        <w:rPr>
          <w:rFonts w:ascii="Times New Roman" w:hAnsi="Times New Roman" w:cs="Times New Roman"/>
          <w:b/>
          <w:sz w:val="24"/>
          <w:szCs w:val="24"/>
        </w:rPr>
        <w:t>W GAWŁUSZOWICACH</w:t>
      </w:r>
    </w:p>
    <w:p w14:paraId="2631A205" w14:textId="77777777" w:rsidR="008E53F3" w:rsidRDefault="008E53F3" w:rsidP="004F3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AD4965" w14:textId="1C21FB52" w:rsidR="00087ED8" w:rsidRPr="008E53F3" w:rsidRDefault="008E53F3" w:rsidP="008E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Zadanie: </w:t>
      </w:r>
      <w:r w:rsidR="004F3A27" w:rsidRPr="008E53F3">
        <w:rPr>
          <w:rFonts w:ascii="Times New Roman" w:hAnsi="Times New Roman" w:cs="Times New Roman"/>
          <w:b/>
          <w:i/>
          <w:kern w:val="0"/>
          <w:sz w:val="24"/>
          <w:szCs w:val="24"/>
        </w:rPr>
        <w:t>Konserwacja i restaur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acja wystroju ścian zabytkowego</w:t>
      </w:r>
      <w:r w:rsidR="004F3A27" w:rsidRPr="008E53F3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, drewnianego kościoła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                                </w:t>
      </w:r>
      <w:r w:rsidR="004F3A27" w:rsidRPr="008E53F3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Gawłuszowicach- polichromia</w:t>
      </w:r>
      <w:r w:rsidR="004F3A27" w:rsidRPr="008E53F3">
        <w:rPr>
          <w:rFonts w:ascii="Times New Roman" w:hAnsi="Times New Roman" w:cs="Times New Roman"/>
          <w:b/>
          <w:i/>
          <w:kern w:val="0"/>
          <w:sz w:val="24"/>
          <w:szCs w:val="24"/>
        </w:rPr>
        <w:t>.</w:t>
      </w:r>
    </w:p>
    <w:p w14:paraId="3AB6DA70" w14:textId="77777777" w:rsidR="004F3A27" w:rsidRPr="008E53F3" w:rsidRDefault="004F3A27" w:rsidP="008E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</w:p>
    <w:p w14:paraId="7AE54FED" w14:textId="51AB9F68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Wykonanie dokumentacji stanu zachowania polichromii na wszystkich elementach wystroju ścian.</w:t>
      </w:r>
    </w:p>
    <w:p w14:paraId="429A6C3C" w14:textId="3CF0C781" w:rsidR="00525E3E" w:rsidRPr="008E53F3" w:rsidRDefault="00525E3E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Montaż rusztowań</w:t>
      </w:r>
      <w:r w:rsidR="008E53F3">
        <w:rPr>
          <w:rFonts w:ascii="Times New Roman" w:hAnsi="Times New Roman" w:cs="Times New Roman"/>
          <w:sz w:val="24"/>
          <w:szCs w:val="24"/>
        </w:rPr>
        <w:t>.</w:t>
      </w:r>
    </w:p>
    <w:p w14:paraId="4A3825B1" w14:textId="693BB2E4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Wykonanie badań odkrywkowych i laboratoryjnych w celu rozpoznania budowy technologicznej, stanu zachowania  i stratygrafii na wszystkich elementach wystroju ścian. </w:t>
      </w:r>
      <w:r w:rsidR="008E53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53F3">
        <w:rPr>
          <w:rFonts w:ascii="Times New Roman" w:hAnsi="Times New Roman" w:cs="Times New Roman"/>
          <w:sz w:val="24"/>
          <w:szCs w:val="24"/>
        </w:rPr>
        <w:t xml:space="preserve">Ze względu na ilość nawarstwień oraz śladowe zachowanie najstarszych i najcenniejszych polichromii badania warstw malarskich będą kontynuowane przez cały proces konserwacji. </w:t>
      </w:r>
    </w:p>
    <w:p w14:paraId="1A9D6322" w14:textId="7C22732E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Demontaż ołtarzy</w:t>
      </w:r>
      <w:r w:rsidR="00525E3E" w:rsidRPr="008E53F3">
        <w:rPr>
          <w:rFonts w:ascii="Times New Roman" w:hAnsi="Times New Roman" w:cs="Times New Roman"/>
          <w:sz w:val="24"/>
          <w:szCs w:val="24"/>
        </w:rPr>
        <w:t xml:space="preserve">, ambony, obrazów sztalugowych (oczyszczenie, dezynsekcja drewna </w:t>
      </w:r>
      <w:r w:rsidR="008E53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5E3E" w:rsidRPr="008E53F3">
        <w:rPr>
          <w:rFonts w:ascii="Times New Roman" w:hAnsi="Times New Roman" w:cs="Times New Roman"/>
          <w:sz w:val="24"/>
          <w:szCs w:val="24"/>
        </w:rPr>
        <w:t>i ponowny montaż po pracach konserwatorskich)</w:t>
      </w:r>
      <w:r w:rsidR="008E53F3">
        <w:rPr>
          <w:rFonts w:ascii="Times New Roman" w:hAnsi="Times New Roman" w:cs="Times New Roman"/>
          <w:sz w:val="24"/>
          <w:szCs w:val="24"/>
        </w:rPr>
        <w:t>.</w:t>
      </w:r>
    </w:p>
    <w:p w14:paraId="703B1F1D" w14:textId="7B430C6E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Zabezpieczenie zabytkowego </w:t>
      </w:r>
      <w:r w:rsidR="00525E3E" w:rsidRPr="008E53F3">
        <w:rPr>
          <w:rFonts w:ascii="Times New Roman" w:hAnsi="Times New Roman" w:cs="Times New Roman"/>
          <w:sz w:val="24"/>
          <w:szCs w:val="24"/>
        </w:rPr>
        <w:t xml:space="preserve">wystroju i </w:t>
      </w:r>
      <w:r w:rsidRPr="008E53F3">
        <w:rPr>
          <w:rFonts w:ascii="Times New Roman" w:hAnsi="Times New Roman" w:cs="Times New Roman"/>
          <w:sz w:val="24"/>
          <w:szCs w:val="24"/>
        </w:rPr>
        <w:t>wyposażenia kościoła</w:t>
      </w:r>
      <w:r w:rsidR="00525E3E" w:rsidRPr="008E53F3">
        <w:rPr>
          <w:rFonts w:ascii="Times New Roman" w:hAnsi="Times New Roman" w:cs="Times New Roman"/>
          <w:sz w:val="24"/>
          <w:szCs w:val="24"/>
        </w:rPr>
        <w:t xml:space="preserve"> (oczyszczenie wystroju </w:t>
      </w:r>
      <w:r w:rsidR="008E53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5E3E" w:rsidRPr="008E53F3">
        <w:rPr>
          <w:rFonts w:ascii="Times New Roman" w:hAnsi="Times New Roman" w:cs="Times New Roman"/>
          <w:sz w:val="24"/>
          <w:szCs w:val="24"/>
        </w:rPr>
        <w:t>i wyposażenia  po pracach konserwatorskich).</w:t>
      </w:r>
    </w:p>
    <w:p w14:paraId="1FA86039" w14:textId="181E02CB" w:rsidR="00525E3E" w:rsidRPr="008E53F3" w:rsidRDefault="008E53F3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oświetlenia</w:t>
      </w:r>
      <w:r w:rsidR="00525E3E" w:rsidRPr="008E53F3">
        <w:rPr>
          <w:rFonts w:ascii="Times New Roman" w:hAnsi="Times New Roman" w:cs="Times New Roman"/>
          <w:sz w:val="24"/>
          <w:szCs w:val="24"/>
        </w:rPr>
        <w:t xml:space="preserve">, ekranów oraz </w:t>
      </w:r>
      <w:r w:rsidR="004F3A27" w:rsidRPr="008E53F3">
        <w:rPr>
          <w:rFonts w:ascii="Times New Roman" w:hAnsi="Times New Roman" w:cs="Times New Roman"/>
          <w:sz w:val="24"/>
          <w:szCs w:val="24"/>
        </w:rPr>
        <w:t>demontaż</w:t>
      </w:r>
      <w:r w:rsidR="00525E3E" w:rsidRPr="008E53F3">
        <w:rPr>
          <w:rFonts w:ascii="Times New Roman" w:hAnsi="Times New Roman" w:cs="Times New Roman"/>
          <w:sz w:val="24"/>
          <w:szCs w:val="24"/>
        </w:rPr>
        <w:t xml:space="preserve"> starego okablowania, zabezpieczenie nagłośnienia.</w:t>
      </w:r>
    </w:p>
    <w:p w14:paraId="670AD509" w14:textId="6BE9B82A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Analiza wyników badań, ewentualne uszczegółowienie  zakresu i programu prac.  </w:t>
      </w:r>
    </w:p>
    <w:p w14:paraId="259B9D07" w14:textId="004B23FD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Wstępne usunięcie luźnego kurzu, pajęczyn. </w:t>
      </w:r>
    </w:p>
    <w:p w14:paraId="5DE3D874" w14:textId="5DB056C8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Wstępne zabezpieczenie odspojonych, spudrowanych i złuszczonych partii polichromii.</w:t>
      </w:r>
    </w:p>
    <w:p w14:paraId="08F3BBDA" w14:textId="50FE2780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Ewentualne usunięcie wtórnych warstw przemalowań i zanieczyszczeń (mechanicznie skalpelem, chemicznie np.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Scansol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Witaf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>, Conrad, terpentyna, alkohol itp. Ostateczna metoda usuwania przemalowań zostanie wybrana na podstawie testów).</w:t>
      </w:r>
    </w:p>
    <w:p w14:paraId="097A4848" w14:textId="0EDD0A03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Podklejenie złuszczeń i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odspojeń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warstwy malarskiej (n</w:t>
      </w:r>
      <w:r w:rsidR="008E53F3">
        <w:rPr>
          <w:rFonts w:ascii="Times New Roman" w:hAnsi="Times New Roman" w:cs="Times New Roman"/>
          <w:sz w:val="24"/>
          <w:szCs w:val="24"/>
        </w:rPr>
        <w:t xml:space="preserve">p. Klej skórny, </w:t>
      </w:r>
      <w:proofErr w:type="spellStart"/>
      <w:r w:rsidR="008E53F3">
        <w:rPr>
          <w:rFonts w:ascii="Times New Roman" w:hAnsi="Times New Roman" w:cs="Times New Roman"/>
          <w:sz w:val="24"/>
          <w:szCs w:val="24"/>
        </w:rPr>
        <w:t>Primal</w:t>
      </w:r>
      <w:proofErr w:type="spellEnd"/>
      <w:r w:rsidR="008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3F3">
        <w:rPr>
          <w:rFonts w:ascii="Times New Roman" w:hAnsi="Times New Roman" w:cs="Times New Roman"/>
          <w:sz w:val="24"/>
          <w:szCs w:val="24"/>
        </w:rPr>
        <w:t>Vinavil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>; ostateczna metoda zostanie wybrana na podst</w:t>
      </w:r>
      <w:r w:rsidR="00376078" w:rsidRPr="008E53F3">
        <w:rPr>
          <w:rFonts w:ascii="Times New Roman" w:hAnsi="Times New Roman" w:cs="Times New Roman"/>
          <w:sz w:val="24"/>
          <w:szCs w:val="24"/>
        </w:rPr>
        <w:t>a</w:t>
      </w:r>
      <w:r w:rsidRPr="008E53F3">
        <w:rPr>
          <w:rFonts w:ascii="Times New Roman" w:hAnsi="Times New Roman" w:cs="Times New Roman"/>
          <w:sz w:val="24"/>
          <w:szCs w:val="24"/>
        </w:rPr>
        <w:t>wie testów ).</w:t>
      </w:r>
    </w:p>
    <w:p w14:paraId="33339A78" w14:textId="09D72732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Dezynsekcja, dezynfekcja i zabezpieczenie owadobójcze drewna. (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Hylotox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Xiren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Preventol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>).</w:t>
      </w:r>
    </w:p>
    <w:p w14:paraId="5DB9BCCB" w14:textId="1E075F57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Ewentualna wymiana zmurszałych i zdegradowanych partii drewna (drewno sezonowane analogicznego gatunku).</w:t>
      </w:r>
    </w:p>
    <w:p w14:paraId="398C915C" w14:textId="1BE14C99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Flekowanie szczelin.</w:t>
      </w:r>
    </w:p>
    <w:p w14:paraId="60B1598D" w14:textId="2D4441B4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Uzupełnienie drobnych ubytków kitem trocinowym. </w:t>
      </w:r>
    </w:p>
    <w:p w14:paraId="0EC55BFB" w14:textId="2E99721B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lastRenderedPageBreak/>
        <w:t xml:space="preserve">Ewentualne wklejenie pasów płótna na sękach. </w:t>
      </w:r>
    </w:p>
    <w:p w14:paraId="446652EC" w14:textId="4FBB35DF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Uzupełnienie ubytków zaprawy (rodzaj gruntu będzie dobrany lokalnie zależnie od rodzaju odkrytej dekoracji).</w:t>
      </w:r>
    </w:p>
    <w:p w14:paraId="2487FE0E" w14:textId="5C0E9177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Werniksowanie powierzchni polichromii. </w:t>
      </w:r>
    </w:p>
    <w:p w14:paraId="102A1C28" w14:textId="35EF59D3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Uzupełnienie ubytków polichromii – scalanie kolorystyczne (</w:t>
      </w:r>
      <w:r w:rsidR="009224BF" w:rsidRPr="008E53F3">
        <w:rPr>
          <w:rFonts w:ascii="Times New Roman" w:hAnsi="Times New Roman" w:cs="Times New Roman"/>
          <w:sz w:val="24"/>
          <w:szCs w:val="24"/>
        </w:rPr>
        <w:t>pigmenty lub farby odwracalne</w:t>
      </w:r>
      <w:r w:rsidRPr="008E53F3">
        <w:rPr>
          <w:rFonts w:ascii="Times New Roman" w:hAnsi="Times New Roman" w:cs="Times New Roman"/>
          <w:sz w:val="24"/>
          <w:szCs w:val="24"/>
        </w:rPr>
        <w:t xml:space="preserve">) Dobór spoiwa do scalania będzie uzależniony od rodzaju scalanej dekoracji. Większe partie gładkich płaszczyzn będą scalone metodą rozwibrowanej plamy lub laserunkowo. W partiach gładkich lamperii zostaną użyte tradycyjne farby olejne lub odwracalne farby produkcyjne np.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Reversil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Lignosil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Keim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A86DF6E" w14:textId="582FB581" w:rsidR="00087ED8" w:rsidRPr="008E53F3" w:rsidRDefault="00530C30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Demontaż rusztowań</w:t>
      </w:r>
      <w:r w:rsidR="008E53F3">
        <w:rPr>
          <w:rFonts w:ascii="Times New Roman" w:hAnsi="Times New Roman" w:cs="Times New Roman"/>
          <w:sz w:val="24"/>
          <w:szCs w:val="24"/>
        </w:rPr>
        <w:t>.</w:t>
      </w:r>
    </w:p>
    <w:p w14:paraId="3858325E" w14:textId="3952EA3C" w:rsidR="00087ED8" w:rsidRPr="008E53F3" w:rsidRDefault="009224BF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E</w:t>
      </w:r>
      <w:r w:rsidR="00087ED8" w:rsidRPr="008E53F3">
        <w:rPr>
          <w:rFonts w:ascii="Times New Roman" w:hAnsi="Times New Roman" w:cs="Times New Roman"/>
          <w:sz w:val="24"/>
          <w:szCs w:val="24"/>
        </w:rPr>
        <w:t>lementy me</w:t>
      </w:r>
      <w:r w:rsidR="008E53F3">
        <w:rPr>
          <w:rFonts w:ascii="Times New Roman" w:hAnsi="Times New Roman" w:cs="Times New Roman"/>
          <w:sz w:val="24"/>
          <w:szCs w:val="24"/>
        </w:rPr>
        <w:t>talowe (zawiasy, okucia i inne).</w:t>
      </w:r>
    </w:p>
    <w:p w14:paraId="2A91157E" w14:textId="04EAB84A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Wykonanie dokumentacji stanu zachowania przed konserwacją.</w:t>
      </w:r>
    </w:p>
    <w:p w14:paraId="1AF25858" w14:textId="3BACB1DF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Wykonie badań odkrywkowych w celu ustalenia pierwotnej kolorystyki i budowy technologicznej.</w:t>
      </w:r>
    </w:p>
    <w:p w14:paraId="5E33EC14" w14:textId="6B307A52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Wstępne oczyszczenie z luźnych zabrudzeń ręcznie metodą mechaniczną.</w:t>
      </w:r>
      <w:r w:rsidRPr="008E53F3">
        <w:rPr>
          <w:rFonts w:ascii="Times New Roman" w:hAnsi="Times New Roman" w:cs="Times New Roman"/>
          <w:sz w:val="24"/>
          <w:szCs w:val="24"/>
        </w:rPr>
        <w:tab/>
      </w:r>
    </w:p>
    <w:p w14:paraId="08F49961" w14:textId="3DD1927A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Oczyszczanie metalowych elementów z warstw przemalowań i nawarstwień korozyjnych metodą dobraną na podstawie prób (chemiczną, mechaniczną, strumieniowo-ścierną).</w:t>
      </w:r>
    </w:p>
    <w:p w14:paraId="2AACD71C" w14:textId="2BED215F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>Naniesienie osłony antykorozyjnej.</w:t>
      </w:r>
    </w:p>
    <w:p w14:paraId="43C521D7" w14:textId="43260530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Uzupełnienie ewentualnych ubytków w technice analogicznej do oryginału. </w:t>
      </w:r>
    </w:p>
    <w:p w14:paraId="7CB018AF" w14:textId="24A1EDD0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Pokrycie farbą antykorozyjną (np. podkład epoksydowy antykorozyjny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360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Novol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>).</w:t>
      </w:r>
    </w:p>
    <w:p w14:paraId="0AAFDAC7" w14:textId="732D0333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Pokrycie farbą dobraną do oryginału na podstawie badań, w przypadku gdy nie da się ustalić oryginalnej kolorystyki, pokrycie farbą z opiłkami metalu (np. farba nawierzchniowa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Eddi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F3">
        <w:rPr>
          <w:rFonts w:ascii="Times New Roman" w:hAnsi="Times New Roman" w:cs="Times New Roman"/>
          <w:sz w:val="24"/>
          <w:szCs w:val="24"/>
        </w:rPr>
        <w:t>Schmied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1901) lub bezbarwnym preparatem blokującym korozję.</w:t>
      </w:r>
    </w:p>
    <w:p w14:paraId="1768B8AC" w14:textId="20E0B60A" w:rsidR="00087ED8" w:rsidRPr="008E53F3" w:rsidRDefault="00087ED8" w:rsidP="008E53F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Ewentualne odtworzenie brakujących elementów oraz okuć na wzór zachowanego oryginału lub uzupełnienie brakujących elementów metalowych gotowymi zamiennikami o formie i materiale jak najbardziej zbliżonych do oryginału. </w:t>
      </w:r>
    </w:p>
    <w:p w14:paraId="1C93D9CE" w14:textId="77777777" w:rsidR="00536E90" w:rsidRPr="008E53F3" w:rsidRDefault="00536E90">
      <w:pPr>
        <w:rPr>
          <w:rFonts w:ascii="Times New Roman" w:hAnsi="Times New Roman" w:cs="Times New Roman"/>
          <w:sz w:val="24"/>
          <w:szCs w:val="24"/>
        </w:rPr>
      </w:pPr>
    </w:p>
    <w:sectPr w:rsidR="00536E90" w:rsidRPr="008E53F3" w:rsidSect="004F3A27">
      <w:pgSz w:w="11906" w:h="16838"/>
      <w:pgMar w:top="42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1507D"/>
    <w:multiLevelType w:val="hybridMultilevel"/>
    <w:tmpl w:val="41C8293C"/>
    <w:lvl w:ilvl="0" w:tplc="EA1832E2">
      <w:start w:val="8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A2"/>
    <w:rsid w:val="00087ED8"/>
    <w:rsid w:val="001673A2"/>
    <w:rsid w:val="00376078"/>
    <w:rsid w:val="00454199"/>
    <w:rsid w:val="004F3A27"/>
    <w:rsid w:val="00525E3E"/>
    <w:rsid w:val="00530C30"/>
    <w:rsid w:val="00536E90"/>
    <w:rsid w:val="007F22B4"/>
    <w:rsid w:val="00816295"/>
    <w:rsid w:val="008E53F3"/>
    <w:rsid w:val="009224BF"/>
    <w:rsid w:val="00BA4DC7"/>
    <w:rsid w:val="00C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7CE1"/>
  <w15:chartTrackingRefBased/>
  <w15:docId w15:val="{2FA6CDF0-FBDD-4B51-9B90-7AE3B60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m.trzpis@gawluszowice.pl</cp:lastModifiedBy>
  <cp:revision>4</cp:revision>
  <cp:lastPrinted>2023-07-27T08:25:00Z</cp:lastPrinted>
  <dcterms:created xsi:type="dcterms:W3CDTF">2023-08-04T09:16:00Z</dcterms:created>
  <dcterms:modified xsi:type="dcterms:W3CDTF">2023-09-01T09:53:00Z</dcterms:modified>
</cp:coreProperties>
</file>